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28135E">
      <w:pPr>
        <w:pStyle w:val="1"/>
      </w:pPr>
      <w:r>
        <w:fldChar w:fldCharType="begin"/>
      </w:r>
      <w:r>
        <w:instrText>HYPERLINK "https://internet.garant.ru/document/redirect/402839880/0"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транспорта РФ от 12 июля 2021 г. N 232 "Об утверждении Порядка подготовки сил обеспечения</w:t>
      </w:r>
      <w:r>
        <w:rPr>
          <w:rStyle w:val="a4"/>
          <w:b w:val="0"/>
          <w:bCs w:val="0"/>
        </w:rPr>
        <w:t xml:space="preserve"> транспортной безопасности"</w:t>
      </w:r>
      <w:r>
        <w:fldChar w:fldCharType="end"/>
      </w:r>
    </w:p>
    <w:p w:rsidR="00000000" w:rsidRDefault="0028135E"/>
    <w:p w:rsidR="00000000" w:rsidRDefault="0028135E">
      <w:r>
        <w:t xml:space="preserve">В соответствии с </w:t>
      </w:r>
      <w:hyperlink r:id="rId7" w:history="1">
        <w:r>
          <w:rPr>
            <w:rStyle w:val="a4"/>
          </w:rPr>
          <w:t>частью 2 статьи 5</w:t>
        </w:r>
      </w:hyperlink>
      <w:r>
        <w:t xml:space="preserve"> и </w:t>
      </w:r>
      <w:hyperlink r:id="rId8" w:history="1">
        <w:r>
          <w:rPr>
            <w:rStyle w:val="a4"/>
          </w:rPr>
          <w:t>частью 1 статьи 12.1</w:t>
        </w:r>
      </w:hyperlink>
      <w:r>
        <w:t xml:space="preserve"> Федерального закона о</w:t>
      </w:r>
      <w:r>
        <w:t xml:space="preserve">т 9 февраля 2007 г. N 16-ФЗ "О транспортной безопасности" (Собрание законодательства Российской Федерации, 2007, N 7, ст. 837; 2019, N 30, ст. 4134, N 31, ст. 4429), </w:t>
      </w:r>
      <w:hyperlink r:id="rId9" w:history="1">
        <w:r>
          <w:rPr>
            <w:rStyle w:val="a4"/>
          </w:rPr>
          <w:t>пунктом 1</w:t>
        </w:r>
      </w:hyperlink>
      <w:r>
        <w:t xml:space="preserve"> и </w:t>
      </w:r>
      <w:hyperlink r:id="rId10" w:history="1">
        <w:r>
          <w:rPr>
            <w:rStyle w:val="a4"/>
          </w:rPr>
          <w:t>подпунктом 5.2.54(1) пункта 5</w:t>
        </w:r>
      </w:hyperlink>
      <w:r>
        <w:t xml:space="preserve"> Положения о Министерстве транспорта Российской Федерации, утвержденного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</w:t>
      </w:r>
      <w:r>
        <w:t>ительства Российской Федерации от 30 июля 2004 г. N 395 (Собрание законодательства Российской Федерации, 2004, N 32, ст. 3342; 2014, N 30, ст. 4311; 2019, N 1, ст. 10), приказываю:</w:t>
      </w:r>
    </w:p>
    <w:p w:rsidR="00000000" w:rsidRDefault="0028135E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подготовки сил обеспечения транспортной безопасности.</w:t>
      </w:r>
    </w:p>
    <w:p w:rsidR="00000000" w:rsidRDefault="0028135E">
      <w:bookmarkStart w:id="2" w:name="sub_2"/>
      <w:bookmarkEnd w:id="1"/>
      <w:r>
        <w:t xml:space="preserve">2. Признать утратившим силу </w:t>
      </w:r>
      <w:hyperlink r:id="rId12" w:history="1">
        <w:r>
          <w:rPr>
            <w:rStyle w:val="a4"/>
          </w:rPr>
          <w:t>приказ</w:t>
        </w:r>
      </w:hyperlink>
      <w:r>
        <w:t xml:space="preserve"> Министерства транспорта Российской Федерации от 31 июля 2014 г. N 212 "Об утверждении </w:t>
      </w:r>
      <w:r>
        <w:t>Порядка подготовки сил обеспечения транспортной безопасности" (зарегистрирован Минюстом России 5 сентября 2014 г., регистрационный N 33979).</w:t>
      </w:r>
    </w:p>
    <w:p w:rsidR="00000000" w:rsidRDefault="0028135E">
      <w:bookmarkStart w:id="3" w:name="sub_3"/>
      <w:bookmarkEnd w:id="2"/>
      <w:r>
        <w:t xml:space="preserve">3. Настоящий приказ вступает в силу с 1 марта 2022 г., за исключением </w:t>
      </w:r>
      <w:hyperlink r:id="rId13" w:history="1">
        <w:r>
          <w:rPr>
            <w:rStyle w:val="a4"/>
          </w:rPr>
          <w:t>абзаца пятого пункта 8</w:t>
        </w:r>
      </w:hyperlink>
      <w:r>
        <w:t xml:space="preserve"> Порядка подготовки сил обеспечения транспортной безопасности, который вступает в силу с 1 сентября 2023 г.</w:t>
      </w:r>
    </w:p>
    <w:p w:rsidR="00000000" w:rsidRDefault="0028135E">
      <w:bookmarkStart w:id="4" w:name="sub_4"/>
      <w:bookmarkEnd w:id="3"/>
      <w:r>
        <w:t>4. Настоящий приказ действует до 1 марта 2028 г.</w:t>
      </w:r>
    </w:p>
    <w:bookmarkEnd w:id="4"/>
    <w:p w:rsidR="00000000" w:rsidRDefault="0028135E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8135E">
            <w:pPr>
              <w:pStyle w:val="a7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8135E">
            <w:pPr>
              <w:pStyle w:val="a5"/>
              <w:jc w:val="right"/>
            </w:pPr>
            <w:r>
              <w:t>В.Г. Савельев</w:t>
            </w:r>
          </w:p>
        </w:tc>
      </w:tr>
    </w:tbl>
    <w:p w:rsidR="00000000" w:rsidRDefault="0028135E"/>
    <w:p w:rsidR="00000000" w:rsidRDefault="0028135E">
      <w:pPr>
        <w:pStyle w:val="a7"/>
      </w:pPr>
      <w:r>
        <w:t>Зарегистрировано в Минюсте РФ 24 сентября 2021 г.</w:t>
      </w:r>
    </w:p>
    <w:p w:rsidR="00000000" w:rsidRDefault="0028135E">
      <w:pPr>
        <w:pStyle w:val="a7"/>
      </w:pPr>
      <w:r>
        <w:t>Регистрационный N 65130</w:t>
      </w:r>
    </w:p>
    <w:p w:rsidR="00000000" w:rsidRDefault="0028135E"/>
    <w:p w:rsidR="00000000" w:rsidRDefault="0028135E">
      <w:pPr>
        <w:ind w:firstLine="698"/>
        <w:jc w:val="right"/>
      </w:pPr>
      <w:bookmarkStart w:id="5" w:name="sub_1000"/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транспорта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12 июля 2021 г. N 232</w:t>
      </w:r>
    </w:p>
    <w:bookmarkEnd w:id="5"/>
    <w:p w:rsidR="00000000" w:rsidRDefault="0028135E"/>
    <w:p w:rsidR="00000000" w:rsidRDefault="0028135E">
      <w:pPr>
        <w:pStyle w:val="1"/>
      </w:pPr>
      <w:r>
        <w:t>Порядок подготовки сил обеспечения транспортной б</w:t>
      </w:r>
      <w:r>
        <w:t>езопасности</w:t>
      </w:r>
    </w:p>
    <w:p w:rsidR="00000000" w:rsidRDefault="0028135E"/>
    <w:p w:rsidR="00000000" w:rsidRDefault="0028135E">
      <w:bookmarkStart w:id="6" w:name="sub_1001"/>
      <w:r>
        <w:t>1. Порядок подготовки сил обеспечения транспортной безопасности устанавливает правила подготовки сил обеспечения транспортной безопасности, а также персонала специализированных организаций, непосредственно осуществляющих оценку уязвимо</w:t>
      </w:r>
      <w:r>
        <w:t xml:space="preserve">сти объектов транспортной безопасности и судов, в отношении которых применяются правила торгового мореплавания и требования в области охраны судов и портовых средств, установленные международными договорами Российской Федерации, а также судов ледокольного </w:t>
      </w:r>
      <w:r>
        <w:t>флота, используемых для проводки по морским путям (далее - подготовка), а также требования к учебно-тренажерной базе, в том числе тренажерам</w:t>
      </w:r>
      <w:r>
        <w:rPr>
          <w:vertAlign w:val="superscript"/>
        </w:rPr>
        <w:t> </w:t>
      </w:r>
      <w:hyperlink w:anchor="sub_111111" w:history="1">
        <w:r>
          <w:rPr>
            <w:rStyle w:val="a4"/>
            <w:vertAlign w:val="superscript"/>
          </w:rPr>
          <w:t>1</w:t>
        </w:r>
      </w:hyperlink>
      <w:r>
        <w:t>.</w:t>
      </w:r>
    </w:p>
    <w:p w:rsidR="00000000" w:rsidRDefault="0028135E">
      <w:bookmarkStart w:id="7" w:name="sub_1002"/>
      <w:bookmarkEnd w:id="6"/>
      <w:r>
        <w:t>2. Подготовка направлена на приобретение обучающимися знаний, умений</w:t>
      </w:r>
      <w:r>
        <w:t xml:space="preserve"> и навыков, необходимых для выполнения работ, непосредственно связанных с обеспечением транспортной безопасности, требования к которым установлены </w:t>
      </w:r>
      <w:hyperlink r:id="rId1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</w:t>
      </w:r>
      <w:r>
        <w:t>о транспортной безопасности.</w:t>
      </w:r>
    </w:p>
    <w:p w:rsidR="00000000" w:rsidRDefault="0028135E">
      <w:bookmarkStart w:id="8" w:name="sub_1003"/>
      <w:bookmarkEnd w:id="7"/>
      <w:r>
        <w:t>3. Подготовка осуществляется по основным программам профессионального обучения и дополнительным профессиональным программам (далее - образовательная программа)</w:t>
      </w:r>
      <w:r>
        <w:rPr>
          <w:vertAlign w:val="superscript"/>
        </w:rPr>
        <w:t> </w:t>
      </w:r>
      <w:hyperlink w:anchor="sub_111112" w:history="1">
        <w:r>
          <w:rPr>
            <w:rStyle w:val="a4"/>
            <w:vertAlign w:val="superscript"/>
          </w:rPr>
          <w:t>2</w:t>
        </w:r>
      </w:hyperlink>
      <w:r>
        <w:t>. Реализация образоват</w:t>
      </w:r>
      <w:r>
        <w:t>ельных программ включает в себя теоретическую, тренажерную и практическую подготовку</w:t>
      </w:r>
      <w:r>
        <w:rPr>
          <w:vertAlign w:val="superscript"/>
        </w:rPr>
        <w:t> </w:t>
      </w:r>
      <w:hyperlink w:anchor="sub_111113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000000" w:rsidRDefault="0028135E">
      <w:bookmarkStart w:id="9" w:name="sub_1004"/>
      <w:bookmarkEnd w:id="8"/>
      <w:r>
        <w:lastRenderedPageBreak/>
        <w:t>4. Соответствующие образовательные программы разрабатываются организацией, осуществляющей образовательную деятельность (дале</w:t>
      </w:r>
      <w:r>
        <w:t>е - образовательная организация), на основании типовых основных программ профессионального обучения и типовых дополнительных профессиональных программ в области подготовки сил обеспечения транспортной безопасности</w:t>
      </w:r>
      <w:r>
        <w:rPr>
          <w:vertAlign w:val="superscript"/>
        </w:rPr>
        <w:t> </w:t>
      </w:r>
      <w:hyperlink w:anchor="sub_111114" w:history="1">
        <w:r>
          <w:rPr>
            <w:rStyle w:val="a4"/>
            <w:vertAlign w:val="superscript"/>
          </w:rPr>
          <w:t>4</w:t>
        </w:r>
      </w:hyperlink>
      <w:r>
        <w:t>.</w:t>
      </w:r>
    </w:p>
    <w:p w:rsidR="00000000" w:rsidRDefault="0028135E">
      <w:bookmarkStart w:id="10" w:name="sub_1005"/>
      <w:bookmarkEnd w:id="9"/>
      <w:r>
        <w:t>5. Подготовка по основным программам профессионального обучения и разработка типовых основных программ профессионального обучения осуществляются при условии включения работников подразделения транспортной безопасности из числа отдельных кат</w:t>
      </w:r>
      <w:r>
        <w:t>егорий сил обеспечения транспортной безопасности в перечень профессий рабочих, должностей служащих, по которым осуществляется профессиональное обучение, утверждаемый федеральным органом исполнительной власти, осуществляющим функции по выработке и реализаци</w:t>
      </w:r>
      <w:r>
        <w:t>и государственной политики и нормативно-правовому регулированию в сфере общего образования</w:t>
      </w:r>
      <w:r>
        <w:rPr>
          <w:vertAlign w:val="superscript"/>
        </w:rPr>
        <w:t> </w:t>
      </w:r>
      <w:hyperlink w:anchor="sub_111115" w:history="1">
        <w:r>
          <w:rPr>
            <w:rStyle w:val="a4"/>
            <w:vertAlign w:val="superscript"/>
          </w:rPr>
          <w:t>5</w:t>
        </w:r>
      </w:hyperlink>
      <w:r>
        <w:t>.</w:t>
      </w:r>
    </w:p>
    <w:p w:rsidR="00000000" w:rsidRDefault="0028135E">
      <w:bookmarkStart w:id="11" w:name="sub_1006"/>
      <w:bookmarkEnd w:id="10"/>
      <w:r>
        <w:t>6. При разработке дополнительной профессиональной программы образовательная организация учитывает потребности лица, ор</w:t>
      </w:r>
      <w:r>
        <w:t>ганизации, по инициативе которых осуществляется дополнительное профессиональное образование</w:t>
      </w:r>
      <w:r>
        <w:rPr>
          <w:vertAlign w:val="superscript"/>
        </w:rPr>
        <w:t> </w:t>
      </w:r>
      <w:hyperlink w:anchor="sub_111116" w:history="1">
        <w:r>
          <w:rPr>
            <w:rStyle w:val="a4"/>
            <w:vertAlign w:val="superscript"/>
          </w:rPr>
          <w:t>6</w:t>
        </w:r>
      </w:hyperlink>
      <w:r>
        <w:t>, в том числе объединение аналогичных дисциплин (модулей) при подготовке обучающихся по нескольким типовым дополнительным профессиональным программам в области подготовки сил обеспечения транспортной безопасности.</w:t>
      </w:r>
    </w:p>
    <w:p w:rsidR="00000000" w:rsidRDefault="0028135E">
      <w:bookmarkStart w:id="12" w:name="sub_1007"/>
      <w:bookmarkEnd w:id="11"/>
      <w:r>
        <w:t xml:space="preserve">7. Формы обучения и сроки </w:t>
      </w:r>
      <w:r>
        <w:t>освоения дополнительных профессиональных программ определяются образовательной программой и (или) договором об образовании</w:t>
      </w:r>
      <w:r>
        <w:rPr>
          <w:vertAlign w:val="superscript"/>
        </w:rPr>
        <w:t> </w:t>
      </w:r>
      <w:hyperlink w:anchor="sub_111117" w:history="1">
        <w:r>
          <w:rPr>
            <w:rStyle w:val="a4"/>
            <w:vertAlign w:val="superscript"/>
          </w:rPr>
          <w:t>7</w:t>
        </w:r>
      </w:hyperlink>
      <w:r>
        <w:t>.</w:t>
      </w:r>
    </w:p>
    <w:p w:rsidR="00000000" w:rsidRDefault="0028135E">
      <w:bookmarkStart w:id="13" w:name="sub_1008"/>
      <w:bookmarkEnd w:id="12"/>
      <w:r>
        <w:t>8. Образовательные организации при реализации программ должны иметь учебно-тренажерную</w:t>
      </w:r>
      <w:r>
        <w:t xml:space="preserve"> базу, в том числе тренажеры.</w:t>
      </w:r>
    </w:p>
    <w:bookmarkEnd w:id="13"/>
    <w:p w:rsidR="00000000" w:rsidRDefault="0028135E">
      <w:r>
        <w:t>Тренажеры должны обеспечивать имитацию действий.</w:t>
      </w:r>
    </w:p>
    <w:p w:rsidR="00000000" w:rsidRDefault="0028135E">
      <w:r>
        <w:t>Учебно-тренажерная база должна обеспечивать работу в следующих режимах:</w:t>
      </w:r>
    </w:p>
    <w:p w:rsidR="00000000" w:rsidRDefault="0028135E">
      <w:r>
        <w:t>обучения;</w:t>
      </w:r>
    </w:p>
    <w:p w:rsidR="00000000" w:rsidRDefault="0028135E">
      <w:r>
        <w:t>проверки знаний.</w:t>
      </w:r>
    </w:p>
    <w:p w:rsidR="00000000" w:rsidRDefault="0028135E">
      <w:r>
        <w:t>Образовательной организации следует использовать при подготовке обучаю</w:t>
      </w:r>
      <w:r>
        <w:t>щихся в качестве работников, осуществляющих:</w:t>
      </w:r>
    </w:p>
    <w:p w:rsidR="00000000" w:rsidRDefault="0028135E">
      <w:r>
        <w:t>досмотр, дополнительный досмотр и повторный досмотр в целях обеспечения транспортной безопасности, - тренажеры, имитирующие объекты досмотра, для процедуры досмотра ручным контактным способом физических лиц - ма</w:t>
      </w:r>
      <w:r>
        <w:t>некены;</w:t>
      </w:r>
    </w:p>
    <w:p w:rsidR="00000000" w:rsidRDefault="0028135E">
      <w:r>
        <w:t>управление техническими средствами обеспечения транспортной безопасности - тренажеры (макеты), имитирующие системы и средства сигнализации, контроля доступа, видеонаблюдения, аудио- и видеозаписи, связи, оповещения, сбора, обработки, приема и перед</w:t>
      </w:r>
      <w:r>
        <w:t>ачи информации.</w:t>
      </w:r>
    </w:p>
    <w:p w:rsidR="00000000" w:rsidRDefault="0028135E">
      <w:r>
        <w:t>При подготовке по программам допускается использование в качестве тренажеров технических средств обеспечения транспортной безопасности, применяемых для обеспечения транспортной безопасности.</w:t>
      </w:r>
    </w:p>
    <w:p w:rsidR="00000000" w:rsidRDefault="0028135E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28135E">
      <w:pPr>
        <w:pStyle w:val="a8"/>
      </w:pPr>
      <w:bookmarkStart w:id="14" w:name="sub_111111"/>
      <w:r>
        <w:rPr>
          <w:vertAlign w:val="superscript"/>
        </w:rPr>
        <w:t>1</w:t>
      </w:r>
      <w:r>
        <w:t xml:space="preserve"> </w:t>
      </w:r>
      <w:hyperlink r:id="rId15" w:history="1">
        <w:r>
          <w:rPr>
            <w:rStyle w:val="a4"/>
          </w:rPr>
          <w:t>Часть 4 статьи 85.1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 ст. 7598; 2014, N </w:t>
      </w:r>
      <w:r>
        <w:t>6, ст. 566).</w:t>
      </w:r>
    </w:p>
    <w:p w:rsidR="00000000" w:rsidRDefault="0028135E">
      <w:pPr>
        <w:pStyle w:val="a8"/>
      </w:pPr>
      <w:bookmarkStart w:id="15" w:name="sub_111112"/>
      <w:bookmarkEnd w:id="14"/>
      <w:r>
        <w:rPr>
          <w:vertAlign w:val="superscript"/>
        </w:rPr>
        <w:t>2</w:t>
      </w:r>
      <w:r>
        <w:t xml:space="preserve"> </w:t>
      </w:r>
      <w:hyperlink r:id="rId16" w:history="1">
        <w:r>
          <w:rPr>
            <w:rStyle w:val="a4"/>
          </w:rPr>
          <w:t>Часть 1 статьи 85.1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</w:t>
      </w:r>
      <w:r>
        <w:t xml:space="preserve"> Федерации, 2012, N 53 ст. 7598; 2014, N 6, ст. 566).</w:t>
      </w:r>
    </w:p>
    <w:p w:rsidR="00000000" w:rsidRDefault="0028135E">
      <w:pPr>
        <w:pStyle w:val="a8"/>
      </w:pPr>
      <w:bookmarkStart w:id="16" w:name="sub_111113"/>
      <w:bookmarkEnd w:id="15"/>
      <w:r>
        <w:rPr>
          <w:vertAlign w:val="superscript"/>
        </w:rPr>
        <w:t>3</w:t>
      </w:r>
      <w:r>
        <w:t xml:space="preserve"> </w:t>
      </w:r>
      <w:hyperlink r:id="rId17" w:history="1">
        <w:r>
          <w:rPr>
            <w:rStyle w:val="a4"/>
          </w:rPr>
          <w:t>Часть 3 статьи 85.1</w:t>
        </w:r>
      </w:hyperlink>
      <w:r>
        <w:t xml:space="preserve"> Федерального закона от 29 декабря 2012 г. N 273-ФЗ "Об образовании в Российской Федерац</w:t>
      </w:r>
      <w:r>
        <w:t>ии" (Собрание законодательства Российской Федерации, 2012, N 53 ст. 7598; 2014, N 6, ст. 566).</w:t>
      </w:r>
    </w:p>
    <w:p w:rsidR="00000000" w:rsidRDefault="0028135E">
      <w:pPr>
        <w:pStyle w:val="a8"/>
      </w:pPr>
      <w:bookmarkStart w:id="17" w:name="sub_111114"/>
      <w:bookmarkEnd w:id="16"/>
      <w:r>
        <w:rPr>
          <w:vertAlign w:val="superscript"/>
        </w:rPr>
        <w:t>4</w:t>
      </w:r>
      <w:r>
        <w:t xml:space="preserve"> </w:t>
      </w:r>
      <w:hyperlink r:id="rId18" w:history="1">
        <w:r>
          <w:rPr>
            <w:rStyle w:val="a4"/>
          </w:rPr>
          <w:t>Часть 2 статьи 85.1</w:t>
        </w:r>
      </w:hyperlink>
      <w:r>
        <w:t xml:space="preserve"> Федерального закона от 29 декабря 2012 г. N 27</w:t>
      </w:r>
      <w:r>
        <w:t>3-ФЗ "Об образовании в Российской Федерации" (Собрание законодательства Российской Федерации, 2012, N 53 ст. 7598; 2014, N 6, ст. 566).</w:t>
      </w:r>
    </w:p>
    <w:p w:rsidR="00000000" w:rsidRDefault="0028135E">
      <w:pPr>
        <w:pStyle w:val="a8"/>
      </w:pPr>
      <w:bookmarkStart w:id="18" w:name="sub_111115"/>
      <w:bookmarkEnd w:id="17"/>
      <w:r>
        <w:rPr>
          <w:vertAlign w:val="superscript"/>
        </w:rPr>
        <w:t>5</w:t>
      </w:r>
      <w:r>
        <w:t xml:space="preserve"> </w:t>
      </w:r>
      <w:hyperlink r:id="rId19" w:history="1">
        <w:r>
          <w:rPr>
            <w:rStyle w:val="a4"/>
          </w:rPr>
          <w:t>Часть 7 статьи 73</w:t>
        </w:r>
      </w:hyperlink>
      <w:r>
        <w:t xml:space="preserve"> Федер</w:t>
      </w:r>
      <w:r>
        <w:t>ального закона от 29 декабря 2012 г. N 273-ФЗ "Об образовании в Российской Федерации" (Собрание законодательства Российской Федерации, 2012, N 53, ст. 7598; 2020, N 22, ст. 3379).</w:t>
      </w:r>
    </w:p>
    <w:p w:rsidR="00000000" w:rsidRDefault="0028135E">
      <w:pPr>
        <w:pStyle w:val="a8"/>
      </w:pPr>
      <w:bookmarkStart w:id="19" w:name="sub_111116"/>
      <w:bookmarkEnd w:id="18"/>
      <w:r>
        <w:rPr>
          <w:vertAlign w:val="superscript"/>
        </w:rPr>
        <w:t>6</w:t>
      </w:r>
      <w:r>
        <w:t xml:space="preserve"> </w:t>
      </w:r>
      <w:hyperlink r:id="rId20" w:history="1">
        <w:r>
          <w:rPr>
            <w:rStyle w:val="a4"/>
          </w:rPr>
          <w:t>Часть 6 статьи 76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000000" w:rsidRDefault="0028135E">
      <w:pPr>
        <w:pStyle w:val="a8"/>
      </w:pPr>
      <w:bookmarkStart w:id="20" w:name="sub_111117"/>
      <w:bookmarkEnd w:id="19"/>
      <w:r>
        <w:rPr>
          <w:vertAlign w:val="superscript"/>
        </w:rPr>
        <w:t>7</w:t>
      </w:r>
      <w:r>
        <w:t xml:space="preserve"> </w:t>
      </w:r>
      <w:hyperlink r:id="rId21" w:history="1">
        <w:r>
          <w:rPr>
            <w:rStyle w:val="a4"/>
          </w:rPr>
          <w:t>Часть 13 статьи 76</w:t>
        </w:r>
      </w:hyperlink>
      <w:r>
        <w:t xml:space="preserve"> Федерального закона от 29 декабря 2012 г. N 273-ФЗ "Об образовании в Российской Федерации"(Собрание законодательства Российской Федерации, 2012, N 53, ст. 7598).</w:t>
      </w:r>
    </w:p>
    <w:bookmarkEnd w:id="20"/>
    <w:p w:rsidR="0028135E" w:rsidRDefault="0028135E"/>
    <w:sectPr w:rsidR="0028135E">
      <w:headerReference w:type="default" r:id="rId22"/>
      <w:footerReference w:type="default" r:id="rId2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35E" w:rsidRDefault="0028135E">
      <w:r>
        <w:separator/>
      </w:r>
    </w:p>
  </w:endnote>
  <w:endnote w:type="continuationSeparator" w:id="0">
    <w:p w:rsidR="0028135E" w:rsidRDefault="0028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8135E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11.11.2025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135E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8135E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AA495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A495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AA495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AA4955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35E" w:rsidRDefault="0028135E">
      <w:r>
        <w:separator/>
      </w:r>
    </w:p>
  </w:footnote>
  <w:footnote w:type="continuationSeparator" w:id="0">
    <w:p w:rsidR="0028135E" w:rsidRDefault="0028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8135E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транспорта РФ от 12 июля 2021 г. N 232 "Об утверждении Порядка подготовки сил…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55"/>
    <w:rsid w:val="0028135E"/>
    <w:rsid w:val="00AA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826052-4986-46C0-94F8-1627B582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51931/1211" TargetMode="External"/><Relationship Id="rId13" Type="http://schemas.openxmlformats.org/officeDocument/2006/relationships/hyperlink" Target="https://internet.garant.ru/document/redirect/402839880/10085" TargetMode="External"/><Relationship Id="rId18" Type="http://schemas.openxmlformats.org/officeDocument/2006/relationships/hyperlink" Target="https://internet.garant.ru/document/redirect/70291362/851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70291362/108886" TargetMode="External"/><Relationship Id="rId7" Type="http://schemas.openxmlformats.org/officeDocument/2006/relationships/hyperlink" Target="https://internet.garant.ru/document/redirect/12151931/502" TargetMode="External"/><Relationship Id="rId12" Type="http://schemas.openxmlformats.org/officeDocument/2006/relationships/hyperlink" Target="https://internet.garant.ru/document/redirect/70736840/0" TargetMode="External"/><Relationship Id="rId17" Type="http://schemas.openxmlformats.org/officeDocument/2006/relationships/hyperlink" Target="https://internet.garant.ru/document/redirect/70291362/851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0291362/8511" TargetMode="External"/><Relationship Id="rId20" Type="http://schemas.openxmlformats.org/officeDocument/2006/relationships/hyperlink" Target="https://internet.garant.ru/document/redirect/70291362/10887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87263/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0291362/851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internet.garant.ru/document/redirect/187263/1252541" TargetMode="External"/><Relationship Id="rId19" Type="http://schemas.openxmlformats.org/officeDocument/2006/relationships/hyperlink" Target="https://internet.garant.ru/document/redirect/70291362/1088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87263/1101" TargetMode="External"/><Relationship Id="rId14" Type="http://schemas.openxmlformats.org/officeDocument/2006/relationships/hyperlink" Target="https://internet.garant.ru/document/redirect/12151931/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Корулько Алексей Андреевич</cp:lastModifiedBy>
  <cp:revision>2</cp:revision>
  <dcterms:created xsi:type="dcterms:W3CDTF">2025-11-11T12:28:00Z</dcterms:created>
  <dcterms:modified xsi:type="dcterms:W3CDTF">2025-11-11T12:28:00Z</dcterms:modified>
</cp:coreProperties>
</file>